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retinervis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McDonald (2003: 154)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Isle Lacrosse, A. Cunningham [paralecto, fide G. Bentham, Fl. Austral. 2: 409 &amp; 410, 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