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wattsiana</w:t>
      </w:r>
      <w:r>
        <w:t xml:space="preserve"> sens. Whibley</w:t>
      </w:r>
      <w:r w:rsidR="00780DEE" w:rsidRPr="00780DEE">
        <w:rPr>
          <w:i/>
        </w:rPr>
        <w:t xml:space="preserve"> in J.P.Jessop &amp; H.R.Toelken, Fl. S. Australia, Ed. 4</w:t>
      </w:r>
      <w:proofErr w:type="spellStart"/>
      <w:r w:rsidR="00780DEE">
        <w:t xml:space="preserve"> 2:567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O'Leary (2002: 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spooneri</w:t>
      </w:r>
      <w:proofErr w:type="spellEnd"/>
      <w:r>
        <w:t xml:space="preserve"> O'Leary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in D.J.E. Whibley &amp; D.E.Symon, Acacia S. Australia 148 (1992).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