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neurocarpa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r>
        <w:t xml:space="preserve"> (Maiden) Turrill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Cambridge Gulf, W.A., Sept. 1819, A. Cunningham 479 (K), fide B.R. Maslin &amp; L.A.J. Thomson, Austral. Syst. Bot. 5: 736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