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cognata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283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conniana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Israelite Bay, W.A., Sept. 1915, J.P. Brookes s.n. (NSW); isotypes: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283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Domin (1926).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