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hippuroides</w:t>
      </w:r>
      <w:r>
        <w:t xml:space="preserve"> sens. Maiden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30:25</w:t>
      </w:r>
      <w:proofErr w:type="spellEnd"/>
      <w:r w:rsidR="00780DEE">
        <w:t xml:space="preserve"> (1918)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399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longipedunculata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p.p. as to Irvinebank, Qld, Bennett, and Herberton, Qld, Ringrose.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