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kempeana</w:t>
      </w:r>
      <w:r>
        <w:t xml:space="preserve"> F.Muell.</w:t>
      </w:r>
      <w:r w:rsidR="00780DEE" w:rsidRPr="00780DEE">
        <w:rPr>
          <w:i/>
        </w:rPr>
        <w:t xml:space="preserve"> Australas. Chem. Druggist</w:t>
      </w:r>
      <w:proofErr w:type="spellStart"/>
      <w:r w:rsidR="00780DEE">
        <w:t xml:space="preserve"> 5(51):26</w:t>
      </w:r>
      <w:proofErr w:type="spellEnd"/>
      <w:r w:rsidR="00780DEE">
        <w:t xml:space="preserve"> (1882)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Pedley (1978: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catenulata</w:t>
      </w:r>
      <w:proofErr w:type="spellEnd"/>
      <w:r>
        <w:t xml:space="preserve"> C.T.White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lectotype, as to paralectotype: Armiditta, W.Barton 217 (MEL), fide L. Pedley, Austrobaileya 1: 145 (1978).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