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saligna</w:t>
      </w:r>
      <w:r>
        <w:t xml:space="preserve"> (Labill.)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:26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401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cupularis</w:t>
      </w:r>
      <w:proofErr w:type="spellEnd"/>
      <w:r>
        <w:t xml:space="preserve"> Domin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excluded syntype, fide B.R. Maslin, Nuytsia 1: 334, figs 1-4 (1974).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