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pseudowightii</w:t>
      </w:r>
      <w:r>
        <w:t xml:space="preserve"> Thoth.</w:t>
      </w:r>
      <w:r w:rsidR="00780DEE" w:rsidRPr="00780DEE">
        <w:rPr>
          <w:i/>
        </w:rPr>
        <w:t xml:space="preserve"> Rheedea</w:t>
      </w:r>
      <w:proofErr w:type="spellStart"/>
      <w:r w:rsidR="00780DEE">
        <w:t xml:space="preserve"> 2(1):73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Deshpande et al. (2019: 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pseudowightii</w:t>
      </w:r>
      <w:proofErr w:type="spellEnd"/>
      <w:r>
        <w:t xml:space="preserve"> (Thoth.) Kottaim.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Replacement name for Acacia minutifolia Ragu. et al. (1991), non F. Muell. (1874).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minutifolia</w:t>
      </w:r>
      <w:r>
        <w:t xml:space="preserve"> Ragup., A.Mahad. &amp; Thoth.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