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cupressiformis</w:t>
      </w:r>
      <w:proofErr w:type="spellEnd"/>
      <w:r>
        <w:t xml:space="preserve"> (J.L.Stewart) Ali &amp; Faruqi</w:t>
      </w:r>
      <w:r w:rsidR="00780DEE" w:rsidRPr="00780DEE">
        <w:rPr>
          <w:i/>
        </w:rPr>
        <w:t xml:space="preserve"> Pakistan J. Bot.</w:t>
      </w:r>
      <w:proofErr w:type="spellStart"/>
      <w:r w:rsidR="00780DEE">
        <w:t xml:space="preserve"> 1:4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Deshpande et al. (2019: 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cupressiformis</w:t>
      </w:r>
      <w:proofErr w:type="spellEnd"/>
      <w:r>
        <w:t xml:space="preserve"> (J.L.Stewart) Ali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cupressiformis</w:t>
      </w:r>
      <w:r>
        <w:t xml:space="preserve"> J.L.Stewart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