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hohenackeri</w:t>
      </w:r>
      <w:r>
        <w:t xml:space="preserve"> Craib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1915:408</w:t>
      </w:r>
      <w:proofErr w:type="spellEnd"/>
      <w:r w:rsidR="00780DEE">
        <w:t xml:space="preserve"> (1915)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Ragupathy et al. (2014: 175)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hohenackeri</w:t>
      </w:r>
      <w:proofErr w:type="spellEnd"/>
      <w:r>
        <w:t xml:space="preserve"> (Craib) Ragup., Seigler, Ebinger &amp; Maslin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"South India. Nilghiris, Khundas Range, Hohenacker 1602 (Herb. Kew et Herb. Mus. Brit.)"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Deshpande et al. 2018: 131): South India, Nilghiris Khundas Range, Hohenacker 1602 (BM000946891). Remaining syntypes: see Deshpande et al. (2018)</w:t>
      </w:r>
      <w:proofErr w:type="spellEnd"/>
      <w:r w:rsidRPr="009A6983">
        <w:rPr>
          <w:b/>
        </w:rPr>
        <w:t xml:space="preserve"> Source:</w:t>
      </w:r>
      <w:r>
        <w:t xml:space="preserve"> Deshpande et al. (2019)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‘Hoenackeri’.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