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ferruginea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Coromandelia. v.s. hort. Calc."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[In Coromandelia], H.B.C. [Hort. Bot. Calcutta]; Roxburgh s.n. (K, photo!); Roxburgh Icon no 124-495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611); Deshpande et al. (2019: 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