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donaldi</w:t>
      </w:r>
      <w:r>
        <w:t xml:space="preserve"> Haines</w:t>
      </w:r>
      <w:r w:rsidR="00780DEE" w:rsidRPr="00780DEE">
        <w:rPr>
          <w:i/>
        </w:rPr>
        <w:t xml:space="preserve"> Indian Forester</w:t>
      </w:r>
      <w:proofErr w:type="spellStart"/>
      <w:r w:rsidR="00780DEE">
        <w:t xml:space="preserve"> 40:224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175); Deshpande et al. (2019: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donaldi</w:t>
      </w:r>
      <w:proofErr w:type="spellEnd"/>
      <w:r>
        <w:t xml:space="preserve"> (Haines)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INDIA. (1) Madhya Pradesh, Haines 2436 &amp; 2438 (K). (2) Sagar dist., Saleh Reserve, Nov. 1914 &amp; Aug. 1916, Witt 98 (CAL). (3) Jubbalpur Dist., July &amp; December 1901, Hole 11 (CAL). (4) Orissa, Sambalpur, July 1917, Haines 4721 (CAL)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621); Deshpande et al. (2019: 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Although Chakrabarty &amp; Gangopadhyay (1996: 621) consider this taxon conspecific with A. (Senegalia) pennata, Sanjappa (1992: 39), Kumar &amp; Sane (2003: 84) and Roskov et al. (2005) recognize it as a distinct species and it is this classification that is adopted here.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