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diadenia</w:t>
      </w:r>
      <w:r>
        <w:t xml:space="preserve"> R.Parker</w:t>
      </w:r>
      <w:r w:rsidR="00780DEE" w:rsidRPr="00780DEE">
        <w:rPr>
          <w:i/>
        </w:rPr>
        <w:t xml:space="preserve"> Indian Forester</w:t>
      </w:r>
      <w:proofErr w:type="spellStart"/>
      <w:r w:rsidR="00780DEE">
        <w:t xml:space="preserve"> 55:332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175);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diadenia</w:t>
      </w:r>
      <w:proofErr w:type="spellEnd"/>
      <w:r>
        <w:t xml:space="preserve"> (R.Parker)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 Shaik Mokim in Herb. Calc. and Dehra."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(designated, as holotype by Chakrabarty &amp; Gangopadhyay 1996: 604, but corrected to lectotype by Deshpande et al. 2019: 4)  India. Assam, Cachar Dist., Kookicherra, August 1903, Mokim s.n. (CAL 140559); isolectotypes: CAL, DD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604);  Deshpande et al. (2019: 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