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1:12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r>
        <w:t xml:space="preserve"> (Miq.)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cit. specim. "A. globulifera Blume in Herb. laud." et quoad nom. vernac. "Aroy Garoet" (Nielsen 1985: 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