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oerfota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erythraea</w:t>
      </w:r>
      <w:proofErr w:type="spellEnd"/>
      <w:r>
        <w:t xml:space="preserve"> (Schweinf.) Fiori</w:t>
      </w:r>
      <w:r w:rsidR="00780DEE" w:rsidRPr="00780DEE">
        <w:rPr>
          <w:i/>
        </w:rPr>
        <w:t xml:space="preserve"> Agric. Colon.</w:t>
      </w:r>
      <w:proofErr w:type="spellStart"/>
      <w:r w:rsidR="00780DEE">
        <w:t xml:space="preserve"> 5:87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Spelled as Acacia orfota in the protologue, but this a a correctable error according to Art. 60.6 of the International Code of Nomenclature.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pterygocarpa</w:t>
      </w:r>
      <w:r>
        <w:t xml:space="preserve"> Hochst.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