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nubica</w:t>
      </w:r>
      <w:proofErr w:type="spellStart"/>
      <w:r w:rsidRPr="007C1DDC">
        <w:rPr>
          <w:b/>
        </w:rPr>
        <w:t xml:space="preserve"> var.</w:t>
      </w:r>
      <w:proofErr w:type="spellEnd"/>
      <w:proofErr w:type="spellStart"/>
      <w:r w:rsidRPr="007C1DDC">
        <w:rPr>
          <w:b/>
          <w:i/>
        </w:rPr>
        <w:t xml:space="preserve"> aethiopica</w:t>
      </w:r>
      <w:proofErr w:type="spellEnd"/>
      <w:r>
        <w:t xml:space="preserve"> Schweinf.</w:t>
      </w:r>
      <w:r w:rsidR="00780DEE" w:rsidRPr="00780DEE">
        <w:rPr>
          <w:i/>
        </w:rPr>
        <w:t xml:space="preserve"> Linnaea</w:t>
      </w:r>
      <w:proofErr w:type="spellStart"/>
      <w:r w:rsidR="00780DEE">
        <w:t xml:space="preserve"> 35:338</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According to Ross (1979: 137): Schweinfurth did not cite any specimens in the protologue of var. erythraea or of var. aethiopica, but the descriptions leave no doubt of what he intended by these two varieties. Consequently, Schimper 1036, the type of A. pterygocarpa is selected as the lectotype of var. erythraea, and Kotschy 407, the type of A. nubica, is selected as the lectotype of var. aethiopica.</w:t>
      </w:r>
    </w:p>
    <w:p w:rsidR="00F52DD3" w:rsidRDefault="00F52DD3">
      <w:r>
        <w:rPr>
          <w:b/>
        </w:rPr>
        <w:t>Based On:</w:t>
      </w:r>
      <w:r>
        <w:rPr>
          <w:i/>
        </w:rPr>
        <w:t xml:space="preserve"> Acacia nubica</w:t>
      </w:r>
      <w:r>
        <w:t xml:space="preserve"> Benth.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