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r>
        <w:t xml:space="preserve"> sens.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2:210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bavazzanoi</w:t>
      </w:r>
      <w:proofErr w:type="spellEnd"/>
      <w:r>
        <w:t xml:space="preserve"> (Pic.Serm.)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pro parte as to specimen Schweinfurth 252 (Ross 1979: 136).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