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35:453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DC. subsp. sieberiana var. sieberiana.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