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sens. Breitenbach</w:t>
      </w:r>
      <w:r w:rsidR="00780DEE" w:rsidRPr="00780DEE">
        <w:rPr>
          <w:i/>
        </w:rPr>
        <w:t xml:space="preserve"> Indig. Trees S. Africa</w:t>
      </w:r>
      <w:proofErr w:type="spellStart"/>
      <w:r w:rsidR="00780DEE">
        <w:t xml:space="preserve"> 2:302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grandicornuta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(Gerstner)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syn. A. grandicornuta (Ross 1979: 129).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