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tristis</w:t>
      </w:r>
      <w:r>
        <w:t xml:space="preserve"> Welw. ex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2:349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125)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hebeclada</w:t>
      </w:r>
      <w:proofErr w:type="spellEnd"/>
      <w:r>
        <w:t xml:space="preserve"> (A.Schreib.)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Huila Distr., between Lopolo e Ferrão da Sola, Welwitsch 1829 (LISU); isotypes: BM, K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Graham (1835).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