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litakunensis</w:t>
      </w:r>
      <w:r>
        <w:t xml:space="preserve"> 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2:452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Cape Province, Kuruman Distr., Takoon [Litakun], Burchell 2205 (K)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