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tortilis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pubescens</w:t>
      </w:r>
      <w:proofErr w:type="spellEnd"/>
      <w:r>
        <w:t xml:space="preserve"> Aylmer ex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1930:404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pubescens</w:t>
      </w:r>
      <w:proofErr w:type="spellEnd"/>
      <w:r>
        <w:t xml:space="preserve"> (A.Chev.)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Neotype (designated by Ross 1979: 112): Sudan, Blue Nile near Wadi Medani, Muriel S/9 (K)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112) notes that the holotype of this name (Sudan, Khartoum, kilo 8 on Medani railway, Aylmer x8, K) is missing. Nom. illeg., non A.Chev. (1927).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