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arabica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adansonii</w:t>
      </w:r>
      <w:proofErr w:type="spellEnd"/>
      <w:r>
        <w:t xml:space="preserve"> (Guill. &amp; Perr.) A.Chev.</w:t>
      </w:r>
      <w:r w:rsidR="00780DEE" w:rsidRPr="00780DEE">
        <w:rPr>
          <w:i/>
        </w:rPr>
        <w:t xml:space="preserve"> Explor. Bot. Afrique Occ. Franç.</w:t>
      </w:r>
      <w:proofErr w:type="spellStart"/>
      <w:r w:rsidR="00780DEE">
        <w:t xml:space="preserve"> 1:244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107)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nilotica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adstringens</w:t>
      </w:r>
      <w:proofErr w:type="spellEnd"/>
      <w:r>
        <w:t xml:space="preserve"> (Schumach. &amp; Thonn.)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adansonii</w:t>
      </w:r>
      <w:r>
        <w:t xml:space="preserve"> Guill. &amp; Perr.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