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hainanensis</w:t>
      </w:r>
      <w:proofErr w:type="spellEnd"/>
      <w:r>
        <w:t xml:space="preserve"> (Hayata)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19(3):352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2019: 395)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hainanensis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(Hayata) H.Sun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hainanensis</w:t>
      </w:r>
      <w:r>
        <w:t xml:space="preserve"> Hayata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