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flava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seyal</w:t>
      </w:r>
      <w:proofErr w:type="spellEnd"/>
      <w:r>
        <w:t xml:space="preserve"> (Delile) Roberty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11:145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 (following Ross 1979: 90)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seyal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(Delile) P.J.H.Hurter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seyal</w:t>
      </w:r>
      <w:r>
        <w:t xml:space="preserve"> Delile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