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donnaiensis</w:t>
      </w:r>
      <w:r>
        <w:t xml:space="preserve"> Gagnep.</w:t>
      </w:r>
      <w:r w:rsidR="00780DEE" w:rsidRPr="00780DEE">
        <w:rPr>
          <w:i/>
        </w:rPr>
        <w:t xml:space="preserve"> Notul. Syst. (Paris)</w:t>
      </w:r>
      <w:proofErr w:type="spellStart"/>
      <w:r w:rsidR="00780DEE">
        <w:t xml:space="preserve"> 2:114</w:t>
      </w:r>
      <w:proofErr w:type="spellEnd"/>
      <w:r w:rsidR="00780DEE">
        <w:t xml:space="preserve"> (1911)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Maslin et al. (2013: 40)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donnaiensis</w:t>
      </w:r>
      <w:proofErr w:type="spellEnd"/>
      <w:r>
        <w:t xml:space="preserve"> (Gagnep.) Maslin,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Nielsen 1980: 349): Vietnam, bords du Donnai, Nov. 1876, Harmand 965 (P)</w:t>
      </w:r>
      <w:proofErr w:type="spellEnd"/>
    </w:p>
    <w:p w:rsidR="003A515D" w:rsidRPr="009A6983" w:rsidRDefault="003A515D" w:rsidP="009A6983">
      <w:r w:rsidRPr="003A515D">
        <w:rPr>
          <w:b/>
        </w:rPr>
        <w:t>Notes:</w:t>
      </w:r>
      <w:r>
        <w:t xml:space="preserve"> Nielsen (1981: 52) and (1985: 9) treated Harrnand 965 as a holotype, not lectotype.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