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caffra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tomentosa</w:t>
      </w:r>
      <w:proofErr w:type="spellEnd"/>
      <w:r>
        <w:t xml:space="preserve"> sens. Baker f.</w:t>
      </w:r>
      <w:r w:rsidR="00780DEE" w:rsidRPr="00780DEE">
        <w:rPr>
          <w:i/>
        </w:rPr>
        <w:t xml:space="preserve"> Legum. Trop. Africa</w:t>
      </w:r>
      <w:proofErr w:type="spellStart"/>
      <w:r w:rsidR="00780DEE">
        <w:t xml:space="preserve"> 3:833</w:t>
      </w:r>
      <w:proofErr w:type="spellEnd"/>
      <w:r w:rsidR="00780DEE">
        <w:t xml:space="preserve"> (1930)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73)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polyacantha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campylacantha</w:t>
      </w:r>
      <w:proofErr w:type="spellEnd"/>
      <w:r>
        <w:t xml:space="preserve"> (Hochst. ex A.Rich.)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pro parte, as to specimen Swynnerton 61 (Ross 1979: 73).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