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peregrinalis</w:t>
      </w:r>
      <w:r>
        <w:t xml:space="preserve"> M.W.McDonald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14(3):455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(West Papua), Papua New Guinea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peregrina</w:t>
      </w:r>
      <w:r>
        <w:t xml:space="preserve"> M.W.McDonald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peregrina</w:t>
      </w:r>
      <w:r>
        <w:t xml:space="preserve"> M.W.McDonald &amp; Maslin</w:t>
      </w:r>
      <w:r>
        <w:t xml:space="preserve"> (2000)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peregrinale</w:t>
      </w:r>
      <w:r>
        <w:t xml:space="preserve"> (M.W.McDonald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>
        <w:t xml:space="preserve"> sens. Lock &amp; Ford</w:t>
      </w:r>
      <w:r>
        <w:t xml:space="preserve"> (2004)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peregrina</w:t>
      </w:r>
      <w:r>
        <w:t xml:space="preserve"> M.W.McDonald &amp; Maslin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13(1):67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McDonald &amp;amp; Maslin (2002)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peregrinalis</w:t>
      </w:r>
      <w:proofErr w:type="spellEnd"/>
      <w:r>
        <w:t xml:space="preserve"> M.W.McDonald &amp; Maslin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"2 to 3 km S of Keru village, Papua New Guinea, 29 Oct. 1982, D. Skelton &amp; E. G. Cole 1558 (holo: PERTH; iso: BRI, CANB, K, LAE, PERTH: distributed as A. aulacocarpa)."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(L.)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peregrinale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peregrinalis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peregrinalis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r>
        <w:t xml:space="preserve"> sens. Lock &amp; Ford</w:t>
      </w:r>
      <w:r w:rsidR="00780DEE" w:rsidRPr="00780DEE">
        <w:rPr>
          <w:i/>
        </w:rPr>
        <w:t xml:space="preserve"> Legum. Malesia</w:t>
      </w:r>
      <w:proofErr w:type="spellStart"/>
      <w:r w:rsidR="00780DEE">
        <w:t xml:space="preserve"> :7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peregrinalis</w:t>
      </w:r>
      <w:proofErr w:type="spellEnd"/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