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longepetiolata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1:114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South West Africa, Hereroland, Fleck 491 (Z); Kuiseb, Fleck 492a (Z), Fleck 493a (?Z)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