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rupestris</w:t>
      </w:r>
      <w:proofErr w:type="spellEnd"/>
      <w:r>
        <w:t xml:space="preserve"> (Stocks ex Boiss.)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modesta var. rupestris (Stocks ex Boiss.)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rupestris</w:t>
      </w:r>
      <w:r>
        <w:t xml:space="preserve"> Stocks ex Boiss.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