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flava</w:t>
      </w:r>
      <w:r>
        <w:t xml:space="preserve"> (Forssk.)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2:214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flava</w:t>
      </w:r>
      <w:proofErr w:type="spellEnd"/>
      <w:r>
        <w:t xml:space="preserve"> (Forssk.)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Spreng. ex DC. (1825).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flava</w:t>
      </w:r>
      <w:r>
        <w:t xml:space="preserve"> Forssk.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