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socotrana</w:t>
      </w:r>
      <w:r>
        <w:t xml:space="preserve"> Balf.f.</w:t>
      </w:r>
      <w:r w:rsidR="00780DEE" w:rsidRPr="00780DEE">
        <w:rPr>
          <w:i/>
        </w:rPr>
        <w:t xml:space="preserve"> Proc. Roy. Soc. Edinburgh</w:t>
      </w:r>
      <w:proofErr w:type="spellStart"/>
      <w:r w:rsidR="00780DEE">
        <w:t xml:space="preserve"> 11:511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Socotra, Balfour, Cockburn &amp; Scott 91 (K); Schweinfurth 260 (K)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