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cufodontii</w:t>
      </w:r>
      <w:r>
        <w:t xml:space="preserve"> Chiov.</w:t>
      </w:r>
      <w:r w:rsidR="00780DEE" w:rsidRPr="00780DEE">
        <w:rPr>
          <w:i/>
        </w:rPr>
        <w:t xml:space="preserve"> Missione Biol. Borana</w:t>
      </w:r>
      <w:proofErr w:type="spellStart"/>
      <w:r w:rsidR="00780DEE">
        <w:t xml:space="preserve"> 4:55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(1974: 300; 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Malca Guba sui Dava Parma, Borana Province, Ethiopia, Cufodontis 114 (FI)</w:t>
      </w:r>
      <w:proofErr w:type="spellEnd"/>
      <w:r w:rsidRPr="009A6983">
        <w:rPr>
          <w:b/>
        </w:rPr>
        <w:t xml:space="preserve"> Source:</w:t>
      </w:r>
      <w:r>
        <w:t xml:space="preserve"> Ross (1974: 300)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58) this species is conspecific with Acacia senegal (see Bothalia II: 300, 1974) but, owing to the absence of pods and field notes, it is not clear to which variety it should be assigned.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