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arabica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vediana</w:t>
      </w:r>
      <w:proofErr w:type="spellEnd"/>
      <w:r>
        <w:t xml:space="preserve"> T.Cooke</w:t>
      </w:r>
      <w:r w:rsidR="00780DEE" w:rsidRPr="00780DEE">
        <w:rPr>
          <w:i/>
        </w:rPr>
        <w:t xml:space="preserve"> Fl. Bombay</w:t>
      </w:r>
      <w:proofErr w:type="spellStart"/>
      <w:r w:rsidR="00780DEE">
        <w:t xml:space="preserve"> 1(3):444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subalata</w:t>
      </w:r>
      <w:proofErr w:type="spellEnd"/>
      <w:r>
        <w:t xml:space="preserve"> (Vatke)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Sanjappa (1992: 42) treated Acacia nilotica subsp. vediana (based on A. arabica var. vediana) as conspecific with A. nilotica subsp. astringens while Chakrabarty and Gandopadhyay (1996: 620) treated this entity as a distinct taxon. However, in ILDIS (The International Legume Database &amp; Information Service, Roskov et al. 2005) subsp. vediana is regarded as conspecific with A. nilotica subsp. subalata and it is this classification that is followed here.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