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intsia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oxyphylla</w:t>
      </w:r>
      <w:proofErr w:type="spellEnd"/>
      <w:r>
        <w:t xml:space="preserve"> (Graham ex Benth.) Baker</w:t>
      </w:r>
      <w:r w:rsidR="00780DEE" w:rsidRPr="00780DEE">
        <w:rPr>
          <w:i/>
        </w:rPr>
        <w:t xml:space="preserve"> in J.D.Hooker, Fl. Brit. India</w:t>
      </w:r>
      <w:proofErr w:type="spellStart"/>
      <w:r w:rsidR="00780DEE">
        <w:t xml:space="preserve"> 2:297</w:t>
      </w:r>
      <w:proofErr w:type="spellEnd"/>
      <w:r w:rsidR="00780DEE">
        <w:t xml:space="preserve"> (1878)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(2019: 375); Deshpande et al. (2019: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caesia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oxyphylla</w:t>
      </w:r>
      <w:r>
        <w:t xml:space="preserve"> Graham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