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mahrana</w:t>
      </w:r>
      <w:r>
        <w:t xml:space="preserve"> (Thulin &amp; Al-Gifri)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162(3):175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ARABIAN PENINSULA [N]: South Yemen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mahrana</w:t>
      </w:r>
      <w:r>
        <w:t xml:space="preserve"> Thulin &amp; Gifri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mahrana</w:t>
      </w:r>
      <w:r>
        <w:t xml:space="preserve"> Thulin &amp; Gifri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mahrana</w:t>
      </w:r>
      <w:r>
        <w:t xml:space="preserve"> Thulin &amp; Gifri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20:693-696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mahrana</w:t>
      </w:r>
      <w:proofErr w:type="spellEnd"/>
      <w:r>
        <w:t xml:space="preserve"> (Thulin &amp; Al-Gifri)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Yemen, Mahrah Region, 34 km from Sayhut along road to Qishn, Thulin, Friksson, Gifri &amp; Langström 8437 (UPS); isotypes: Aden University, E, K</w:t>
      </w:r>
      <w:proofErr w:type="spellEnd"/>
      <w:r w:rsidRPr="009A6983">
        <w:rPr>
          <w:b/>
        </w:rPr>
        <w:t xml:space="preserve"> Source:</w:t>
      </w:r>
      <w:r>
        <w:t xml:space="preserve"> Thulin &amp; Al-Gifri (2000)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