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megaladena</w:t>
      </w:r>
      <w:r>
        <w:t xml:space="preserve">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3:69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410);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Indiâ"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Habitatu in India orientalis, ex herb. A.N. Desvaux (P [barcode P02436186])</w:t>
      </w:r>
      <w:proofErr w:type="spellEnd"/>
      <w:r w:rsidRPr="009A6983">
        <w:rPr>
          <w:b/>
        </w:rPr>
        <w:t xml:space="preserve"> Source:</w:t>
      </w:r>
      <w:r>
        <w:t xml:space="preserve"> Nielsen (1980: 350): Maslin et al. (2019: 410)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