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walwalensis</w:t>
      </w:r>
      <w:r>
        <w:t xml:space="preserve"> (Gilliland)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walwalensis</w:t>
      </w:r>
      <w:r>
        <w:t xml:space="preserve"> Gilliland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walwalensis</w:t>
      </w:r>
      <w:r>
        <w:t xml:space="preserve"> Gilliland</w:t>
      </w:r>
      <w:r>
        <w:t xml:space="preserve"> (1951)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walwalensis</w:t>
      </w:r>
      <w:r>
        <w:t xml:space="preserve"> Gilliland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6:140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walwalensis</w:t>
      </w:r>
      <w:proofErr w:type="spellEnd"/>
      <w:r>
        <w:t xml:space="preserve"> (Gilliland)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Ogaden, between Wardere and Walwal, Glover &amp; Gilliland 392 (K); isotypes: BM, FHO, PRE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