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(Savi)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Lock &amp; Simpson (1991: 13) comment that var. pubescens is less frequent than var. raddiana.  Full name path is: Vachellia tortilis subsp. raddiana (Savi) Kyal. &amp; Boatwr. var. raddiana.</w:t>
      </w:r>
    </w:p>
    <w:p w:rsidR="009A6983" w:rsidRPr="009A6983" w:rsidRDefault="009A6983">
      <w:r>
        <w:rPr>
          <w:b/>
        </w:rPr>
        <w:t>Distribution:</w:t>
      </w:r>
      <w:r>
        <w:t xml:space="preserve"> AFRICA: Algeria [N], Chad [N], Egypt [N], Kenya [U], Libya [N], Mali [N], Nigeria [N], Senegal [N], Somalia [N], Sudan [N]. INDIAN OCEAN [Ns]: Madagascar. INDIAN SUBCONTINENT [I]: India (Rajasthan, Haryana), Pakistan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10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var.</w:t>
      </w:r>
      <w:r w:rsidR="00041308" w:rsidRPr="00815E7D">
        <w:rPr>
          <w:i/>
        </w:rPr>
        <w:t xml:space="preserve"> raddiana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12:87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 Full name path is: Acacia tortilis subsp. raddiana (Savi) Brenan var. raddiana. Autonym established by the publication of Acacia tortilis subsp. raddiana, and the designation of the previously published A. tortilis var. pubescens as a variety under the new subspecies.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