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raddiana</w:t>
      </w:r>
      <w:r>
        <w:t xml:space="preserve"> Savi</w:t>
      </w:r>
      <w:r w:rsidR="00780DEE" w:rsidRPr="00780DEE">
        <w:rPr>
          <w:i/>
        </w:rPr>
        <w:t xml:space="preserve"> Acacie Egiz.</w:t>
      </w:r>
      <w:proofErr w:type="spellStart"/>
      <w:r w:rsidR="00780DEE">
        <w:t xml:space="preserve"> :1</w:t>
      </w:r>
      <w:proofErr w:type="spellEnd"/>
      <w:r w:rsidR="00780DEE">
        <w:t xml:space="preserve"> (1830)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tortilis</w:t>
      </w:r>
      <w:proofErr w:type="spellEnd"/>
      <w:r>
        <w:t xml:space="preserve"> (Savi)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Isotype: Egypt, Raddi (K)</w:t>
      </w:r>
      <w:proofErr w:type="spellEnd"/>
      <w:r w:rsidRPr="009A6983">
        <w:rPr>
          <w:b/>
        </w:rPr>
        <w:t xml:space="preserve"> Source:</w:t>
      </w:r>
      <w:r>
        <w:t xml:space="preserve"> Ross (1979: 112)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