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tomentosa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et al. (2013: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tomentosa</w:t>
      </w:r>
      <w:proofErr w:type="spellEnd"/>
      <w:r>
        <w:t xml:space="preserve"> (Rottler)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 orientali."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[Rottler] 784 (B-W) (sphalm. Klein s.n., Nielsen 1981: 50), Marmelon, 16 Oct. 1799</w:t>
      </w:r>
      <w:proofErr w:type="spellEnd"/>
      <w:r w:rsidRPr="009A6983">
        <w:rPr>
          <w:b/>
        </w:rPr>
        <w:t xml:space="preserve"> Source:</w:t>
      </w:r>
      <w:r>
        <w:t xml:space="preserve"> Maslin et al. (2013: 43)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Maslin et al 2013 the type locality was interpreted as "Marmelon [Tharangambadi (formerly Tranquebar), Tamil Nadu, SE India]", however, Marmelon is more likely to be Mambalam area in Tamil Nadu (A.Deshpande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