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reficiens</w:t>
      </w:r>
      <w:r>
        <w:t xml:space="preserve"> (Wawra)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Ethiopia, Kenya, Namibia, Somalia, Sudan, Uganda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(subsp.misera, subsp.reficiens)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reficiens</w:t>
      </w:r>
      <w:r>
        <w:t xml:space="preserve"> Wawra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reficiens</w:t>
      </w:r>
      <w:r>
        <w:t xml:space="preserve"> Wawra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uncinata</w:t>
      </w:r>
      <w:r>
        <w:t xml:space="preserve"> Engl.</w:t>
      </w:r>
      <w:r>
        <w:t xml:space="preserve"> (1888)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luederitzii</w:t>
      </w:r>
      <w:r>
        <w:t xml:space="preserve"> Engl.</w:t>
      </w:r>
      <w:r>
        <w:t xml:space="preserve"> (1888)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heteracantha</w:t>
      </w:r>
      <w:r>
        <w:t xml:space="preserve"> sens. Dinter</w:t>
      </w:r>
      <w:r>
        <w:t xml:space="preserve"> (1909)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etbaica</w:t>
      </w:r>
      <w:r>
        <w:t xml:space="preserve"> sens. Torre</w:t>
      </w:r>
      <w:r>
        <w:t xml:space="preserve"> (1956)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reficiens</w:t>
      </w:r>
      <w:r>
        <w:t xml:space="preserve"> Wawra</w:t>
      </w:r>
      <w:r w:rsidR="00780DEE" w:rsidRPr="00780DEE">
        <w:rPr>
          <w:i/>
        </w:rPr>
        <w:t xml:space="preserve"> Sitzungsber. Kaiserl. Akad. Wiss. Wien, Math.-Naturwiss. Cl.</w:t>
      </w:r>
      <w:proofErr w:type="spellStart"/>
      <w:r w:rsidR="00780DEE">
        <w:t xml:space="preserve"> 38:555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(Wawra)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between Benguela and Catumbela, Wawra 248 (W); isotype: K - fragment</w:t>
      </w:r>
      <w:proofErr w:type="spellEnd"/>
      <w:r w:rsidRPr="009A6983">
        <w:rPr>
          <w:b/>
        </w:rPr>
        <w:t xml:space="preserve"> Source:</w:t>
      </w:r>
      <w:r>
        <w:t xml:space="preserve"> Ross (1979: 115)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International Plant Name Index (IPNI) gives the authorship of this name as Wawra &amp; Peyritsch, however, in the publication the description of plants under the heading Polypetalae says "Auctore Wawra".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uncinata</w:t>
      </w:r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10:21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(Wawra)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Africa, Karibib Distr., Usakos, Marloth 1215 (B); isotypes: BOL, GRA</w:t>
      </w:r>
      <w:proofErr w:type="spellEnd"/>
      <w:r w:rsidRPr="009A6983">
        <w:rPr>
          <w:b/>
        </w:rPr>
        <w:t xml:space="preserve"> Source:</w:t>
      </w:r>
      <w:r>
        <w:t xml:space="preserve"> Ross (1979: 116)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Lindl. (1830).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luederitzii</w:t>
      </w:r>
      <w:r>
        <w:t xml:space="preserve">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10:23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116)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(Wawra)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 Marloth 1270, excl. lectotypum (Ross 1979: 116).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heteracantha</w:t>
      </w:r>
      <w:r>
        <w:t xml:space="preserve"> sens. Dinter</w:t>
      </w:r>
      <w:r w:rsidR="00780DEE" w:rsidRPr="00780DEE">
        <w:rPr>
          <w:i/>
        </w:rPr>
        <w:t xml:space="preserve"> Deut. Südw. Afrik.</w:t>
      </w:r>
      <w:proofErr w:type="spellStart"/>
      <w:r w:rsidR="00780DEE">
        <w:t xml:space="preserve"> :76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(Wawra)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etbaica</w:t>
      </w:r>
      <w:r>
        <w:t xml:space="preserve"> sens. Torre</w:t>
      </w:r>
      <w:r w:rsidR="00780DEE" w:rsidRPr="00780DEE">
        <w:rPr>
          <w:i/>
        </w:rPr>
        <w:t xml:space="preserve"> in A.W.Exell, Consp. Fl. Angol.</w:t>
      </w:r>
      <w:proofErr w:type="spellStart"/>
      <w:r w:rsidR="00780DEE">
        <w:t xml:space="preserve"> 2:283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(Wawra)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Saltern quoad specim. Gossweiler 9732 (Ross 1979: 116).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