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(fide Ross 1979: 107): Senegambia, Heudelot s.n. (K)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