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leucophloea</w:t>
      </w:r>
      <w:r>
        <w:t xml:space="preserve"> (Roxb.)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4(2):1083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leucophloea</w:t>
      </w:r>
      <w:proofErr w:type="spellEnd"/>
      <w:r>
        <w:t xml:space="preserve"> (Roxb.)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leucophloea</w:t>
      </w:r>
      <w:r>
        <w:t xml:space="preserve"> Roxb.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