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etbaica</w:t>
      </w:r>
      <w:proofErr w:type="spellEnd"/>
      <w:r>
        <w:t xml:space="preserve"> (Schweinf.)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etbaica subsp. uncinata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Somalia, Sudan. ARABIAN PENINSULA [N]: Saudi Arabia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Schweinf.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 w:rsidR="00041308">
        <w:t xml:space="preserve"> subsp.</w:t>
      </w:r>
      <w:r w:rsidR="00041308" w:rsidRPr="00815E7D">
        <w:rPr>
          <w:i/>
        </w:rPr>
        <w:t xml:space="preserve"> etbaica</w:t>
      </w:r>
      <w:r>
        <w:t xml:space="preserve"> Schweinf.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etbaica</w:t>
      </w:r>
      <w:proofErr w:type="spellEnd"/>
      <w:r>
        <w:t xml:space="preserve"> Schweinf.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12:91-93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etbaica</w:t>
      </w:r>
      <w:proofErr w:type="spellEnd"/>
      <w:r>
        <w:t xml:space="preserve"> (Schweinf.)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etbaica subsp. australis, subsp. platycarpa &amp; subsp. uncinata by Brenan,  Kew Bull. 12: 91-93 (1957).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