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petrensis</w:t>
      </w:r>
      <w:r>
        <w:t xml:space="preserve"> Thulin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58:495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petrensis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Thulin 11000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