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thomasii</w:t>
      </w:r>
      <w:r>
        <w:t xml:space="preserve"> (Harms)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172:510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Kenya, Tanzania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thomasii</w:t>
      </w:r>
      <w:r>
        <w:t xml:space="preserve"> Harms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thomasii</w:t>
      </w:r>
      <w:r>
        <w:t xml:space="preserve"> Harms</w:t>
      </w:r>
      <w:r>
        <w:t xml:space="preserve"> (1914)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thomasii</w:t>
      </w:r>
      <w:r>
        <w:t xml:space="preserve"> Harms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51:366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thomasii</w:t>
      </w:r>
      <w:proofErr w:type="spellEnd"/>
      <w:r>
        <w:t xml:space="preserve"> (Harms)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Neotype (designated by Ross 1979: 61): Machakos Distr., mile 138 and 129 from Mombasa on main Nairobi road, near Kenani, Verdcourt 2390 (K); isoneotype: PRE</w:t>
      </w:r>
      <w:proofErr w:type="spellEnd"/>
      <w:r w:rsidRPr="009A6983">
        <w:rPr>
          <w:b/>
        </w:rPr>
        <w:t xml:space="preserve"> Source:</w:t>
      </w:r>
      <w:r>
        <w:t xml:space="preserve"> Ross (1979)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According to Ross (1979: 61) the holotype of Acacia thomasii (i.e. Kenya, Kitui Distr., Ikutha, F. Thomas III 127) was at herb. B but has been destroyed (there is a drawing at BM).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