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sundra</w:t>
      </w:r>
      <w:proofErr w:type="spellEnd"/>
      <w:r>
        <w:t xml:space="preserve"> (Roxb.) Prain</w:t>
      </w:r>
      <w:r w:rsidR="00780DEE" w:rsidRPr="00780DEE">
        <w:rPr>
          <w:i/>
        </w:rPr>
        <w:t xml:space="preserve"> J. Asiat. Soc Bengal, Pt. 2, Nat. Hist.</w:t>
      </w:r>
      <w:proofErr w:type="spellStart"/>
      <w:r w:rsidR="00780DEE">
        <w:t xml:space="preserve"> 66:508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Maslin (2012: 466); Deshpande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chundra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(Roxb. ex Rottler)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combination Acacia catechu var. sundra (Roxb.) Prain is given in ILDIS (The International Legume Database &amp; Information Service, Roskov et al. 2005) as a synonym of Acacia (Senegalia) chundra, based on Sanjappa (1992) who cited A. catechu var. sundra Prain, J. Asiat. Soc. Beng. 66: 508 (1897). However, the name var. sundra does not appear in Prain’s work although he did suggest that A. sundra could be considered a variety of A. catechu (or a cryptic species in its own right), but did not make the infraspecific combination. (Fide Maslin 2012: 466.).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sundra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