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moggii</w:t>
      </w:r>
      <w:r>
        <w:t xml:space="preserve"> (Thulin &amp; Tardelli)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moggii</w:t>
      </w:r>
      <w:r>
        <w:t xml:space="preserve"> Thulin &amp; Tardelli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moggii</w:t>
      </w:r>
      <w:r>
        <w:t xml:space="preserve"> Thulin &amp; Tardelli</w:t>
      </w:r>
      <w:r>
        <w:t xml:space="preserve"> (1988)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moggii</w:t>
      </w:r>
      <w:r>
        <w:t xml:space="preserve"> Thulin &amp; Tardelli</w:t>
      </w:r>
      <w:r w:rsidR="00780DEE" w:rsidRPr="00780DEE">
        <w:rPr>
          <w:i/>
        </w:rPr>
        <w:t xml:space="preserve"> Willdenowia</w:t>
      </w:r>
      <w:proofErr w:type="spellStart"/>
      <w:r w:rsidR="00780DEE">
        <w:t xml:space="preserve"> 17:125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moggii</w:t>
      </w:r>
      <w:proofErr w:type="spellEnd"/>
      <w:r>
        <w:t xml:space="preserve"> (Thulin &amp; Tardelli)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Hiran Region, 320 km on the Mogadisho-Belet Uein road, Moggi, Tardelli &amp; Warfa 54 (FT); isotypes: B, FT, UPS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509); Thulin (1993: 372)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