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wightii</w:t>
      </w:r>
      <w:r>
        <w:t xml:space="preserve"> Ragup., Seigler, Ebinger &amp; Maslin</w:t>
      </w:r>
      <w:r w:rsidR="00780DEE" w:rsidRPr="00780DEE">
        <w:rPr>
          <w:i/>
        </w:rPr>
        <w:t xml:space="preserve"> Phytotaxa</w:t>
      </w:r>
      <w:proofErr w:type="spellStart"/>
      <w:r w:rsidR="00780DEE">
        <w:t xml:space="preserve"> 162(3):177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Maslin (2014e: 21)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bolei</w:t>
      </w:r>
      <w:proofErr w:type="spellEnd"/>
      <w:r>
        <w:t xml:space="preserve"> (R.P.Subhedar) Ragup., Seigler, Ebinger &amp;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Ragupathy, Seigler, Ebinger &amp; Maslin (2014) erred by basing their new name, Vachellia wightii on the illegitimate Acacia wightii Baker ex Benth.; they should have adopted the name, V. bolei instead (see Maslin 2014e).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wightii</w:t>
      </w:r>
      <w:r>
        <w:t xml:space="preserve"> Baker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